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8B" w:rsidRPr="00671DBB" w:rsidRDefault="00EF138B" w:rsidP="008177D3">
      <w:pPr>
        <w:ind w:left="-284"/>
        <w:jc w:val="center"/>
      </w:pPr>
      <w:r>
        <w:rPr>
          <w:noProof/>
        </w:rPr>
        <w:drawing>
          <wp:inline distT="0" distB="0" distL="0" distR="0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8B" w:rsidRPr="00E34A2B" w:rsidRDefault="00EF138B" w:rsidP="008177D3">
      <w:pPr>
        <w:pStyle w:val="1"/>
        <w:ind w:left="-284"/>
        <w:rPr>
          <w:i/>
          <w:iCs/>
          <w:szCs w:val="32"/>
        </w:rPr>
      </w:pPr>
      <w:r w:rsidRPr="00E34A2B">
        <w:rPr>
          <w:i/>
          <w:iCs/>
          <w:szCs w:val="32"/>
        </w:rPr>
        <w:t>Администрация</w:t>
      </w:r>
    </w:p>
    <w:p w:rsidR="00EF138B" w:rsidRPr="00E34A2B" w:rsidRDefault="00EF138B" w:rsidP="008177D3">
      <w:pPr>
        <w:ind w:left="-284"/>
        <w:jc w:val="center"/>
        <w:rPr>
          <w:b/>
          <w:i/>
          <w:iCs/>
          <w:sz w:val="32"/>
          <w:szCs w:val="32"/>
        </w:rPr>
      </w:pPr>
      <w:r w:rsidRPr="00E34A2B">
        <w:rPr>
          <w:b/>
          <w:i/>
          <w:iCs/>
          <w:sz w:val="32"/>
          <w:szCs w:val="32"/>
        </w:rPr>
        <w:t xml:space="preserve">Северо-Курильского </w:t>
      </w:r>
      <w:r w:rsidR="00183444">
        <w:rPr>
          <w:b/>
          <w:i/>
          <w:iCs/>
          <w:sz w:val="32"/>
          <w:szCs w:val="32"/>
        </w:rPr>
        <w:t>муниципального</w:t>
      </w:r>
      <w:r w:rsidRPr="00E34A2B">
        <w:rPr>
          <w:b/>
          <w:i/>
          <w:iCs/>
          <w:sz w:val="32"/>
          <w:szCs w:val="32"/>
        </w:rPr>
        <w:t xml:space="preserve"> округа</w:t>
      </w:r>
    </w:p>
    <w:p w:rsidR="00EF138B" w:rsidRPr="00E34A2B" w:rsidRDefault="00EF138B" w:rsidP="008177D3">
      <w:pPr>
        <w:pStyle w:val="5"/>
        <w:ind w:left="-284"/>
        <w:rPr>
          <w:b w:val="0"/>
          <w:sz w:val="24"/>
          <w:szCs w:val="24"/>
        </w:rPr>
      </w:pPr>
    </w:p>
    <w:p w:rsidR="00EF138B" w:rsidRPr="001000F0" w:rsidRDefault="00EF138B" w:rsidP="008177D3">
      <w:pPr>
        <w:pStyle w:val="6"/>
        <w:ind w:left="-284"/>
        <w:rPr>
          <w:sz w:val="36"/>
          <w:szCs w:val="36"/>
        </w:rPr>
      </w:pPr>
      <w:proofErr w:type="gramStart"/>
      <w:r w:rsidRPr="001000F0">
        <w:rPr>
          <w:sz w:val="36"/>
          <w:szCs w:val="36"/>
        </w:rPr>
        <w:t>П</w:t>
      </w:r>
      <w:proofErr w:type="gramEnd"/>
      <w:r w:rsidRPr="001000F0">
        <w:rPr>
          <w:sz w:val="36"/>
          <w:szCs w:val="36"/>
        </w:rPr>
        <w:t xml:space="preserve"> О С Т А Н О В Л Е Н И Е</w:t>
      </w:r>
    </w:p>
    <w:p w:rsidR="00361DF0" w:rsidRDefault="00361DF0" w:rsidP="00361DF0"/>
    <w:p w:rsidR="00EF138B" w:rsidRPr="0094544A" w:rsidRDefault="00EF138B" w:rsidP="00845C25">
      <w:pPr>
        <w:ind w:hanging="284"/>
        <w:jc w:val="center"/>
      </w:pPr>
      <w:r w:rsidRPr="0094544A">
        <w:t>от «</w:t>
      </w:r>
      <w:r w:rsidR="00EE1B21">
        <w:t>22</w:t>
      </w:r>
      <w:r w:rsidRPr="0094544A">
        <w:t>»</w:t>
      </w:r>
      <w:r w:rsidR="00183444">
        <w:t xml:space="preserve"> декабря</w:t>
      </w:r>
      <w:r w:rsidR="001000F0" w:rsidRPr="0094544A">
        <w:t xml:space="preserve"> </w:t>
      </w:r>
      <w:r w:rsidRPr="0094544A">
        <w:t>20</w:t>
      </w:r>
      <w:r w:rsidR="00361DF0" w:rsidRPr="0094544A">
        <w:t>2</w:t>
      </w:r>
      <w:r w:rsidR="00183444">
        <w:t>5</w:t>
      </w:r>
      <w:r w:rsidR="004522D0" w:rsidRPr="0094544A">
        <w:t xml:space="preserve"> </w:t>
      </w:r>
      <w:r w:rsidRPr="0094544A">
        <w:t>г.</w:t>
      </w:r>
      <w:r w:rsidR="00183444">
        <w:t xml:space="preserve">  </w:t>
      </w:r>
      <w:r w:rsidR="001000F0" w:rsidRPr="0094544A">
        <w:t>№</w:t>
      </w:r>
      <w:r w:rsidR="00EE1B21">
        <w:t xml:space="preserve"> 534</w:t>
      </w:r>
    </w:p>
    <w:p w:rsidR="00174BE9" w:rsidRPr="0094544A" w:rsidRDefault="00174BE9" w:rsidP="00183444">
      <w:pPr>
        <w:pStyle w:val="ConsPlusTitle"/>
        <w:ind w:left="-28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9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45C25" w:rsidRPr="0094544A" w:rsidTr="00183444">
        <w:tc>
          <w:tcPr>
            <w:tcW w:w="9781" w:type="dxa"/>
          </w:tcPr>
          <w:p w:rsidR="00845C25" w:rsidRPr="00845C25" w:rsidRDefault="00845C25" w:rsidP="00183444">
            <w:pPr>
              <w:pStyle w:val="ConsPlusTitle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</w:t>
            </w:r>
            <w:r w:rsidR="0018344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r w:rsidRPr="00845C25">
              <w:rPr>
                <w:rFonts w:ascii="Times New Roman" w:hAnsi="Times New Roman" w:cs="Times New Roman"/>
                <w:sz w:val="24"/>
                <w:szCs w:val="24"/>
              </w:rPr>
              <w:t>Северо-Курильск</w:t>
            </w:r>
            <w:r w:rsidR="0018344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45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444">
              <w:rPr>
                <w:rFonts w:ascii="Times New Roman" w:hAnsi="Times New Roman" w:cs="Times New Roman"/>
                <w:sz w:val="24"/>
                <w:szCs w:val="24"/>
              </w:rPr>
              <w:t>муниципальный округ»</w:t>
            </w:r>
            <w:r w:rsidRPr="00845C25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83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5C2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D148A0" w:rsidRPr="0094544A" w:rsidRDefault="00D148A0" w:rsidP="008177D3">
      <w:pPr>
        <w:pStyle w:val="ConsPlusTitle"/>
        <w:ind w:left="-284"/>
        <w:rPr>
          <w:rFonts w:ascii="Times New Roman" w:hAnsi="Times New Roman" w:cs="Times New Roman"/>
          <w:b w:val="0"/>
          <w:sz w:val="24"/>
          <w:szCs w:val="24"/>
        </w:rPr>
      </w:pPr>
    </w:p>
    <w:p w:rsidR="00174BE9" w:rsidRPr="0094544A" w:rsidRDefault="00174BE9" w:rsidP="008177D3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444" w:rsidRDefault="00183444" w:rsidP="001834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44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</w:t>
      </w:r>
      <w:proofErr w:type="gramEnd"/>
      <w:r w:rsidRPr="001834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444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 причинения вреда (ущерба) охраняемым законом ценностям», Решением Собрания Северо-Курильского муниципального округа от 17.07.2025 № 8/4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3444">
        <w:rPr>
          <w:rFonts w:ascii="Times New Roman" w:hAnsi="Times New Roman" w:cs="Times New Roman"/>
          <w:sz w:val="24"/>
          <w:szCs w:val="24"/>
        </w:rPr>
        <w:t xml:space="preserve">-7 «Об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>о муниципальном жилищном контроле</w:t>
      </w:r>
      <w:r w:rsidRPr="0018344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«Северо-Курильский муниципальный округ», на основе итогов общественного обсуждения, проведенных с 01.10.2025 г. по 01.11.2025 г., и протокола заседания Общественного совета Северо-Курильского муниципального округа от 10.12.2025г. № 04, руководствуясь</w:t>
      </w:r>
      <w:proofErr w:type="gramEnd"/>
      <w:r w:rsidRPr="00183444">
        <w:rPr>
          <w:rFonts w:ascii="Times New Roman" w:hAnsi="Times New Roman" w:cs="Times New Roman"/>
          <w:sz w:val="24"/>
          <w:szCs w:val="24"/>
        </w:rPr>
        <w:t xml:space="preserve"> Уставом Северо-Курильского муниципального округа, администрация Северо-Курильского муниципального округа ПОСТАНОВЛЯЕТ:</w:t>
      </w:r>
    </w:p>
    <w:p w:rsidR="00D148A0" w:rsidRPr="0094544A" w:rsidRDefault="00183444" w:rsidP="001834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148A0" w:rsidRPr="0094544A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="009E7FC1" w:rsidRPr="0094544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жилищному контролю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9E7FC1" w:rsidRPr="0094544A">
        <w:rPr>
          <w:rFonts w:ascii="Times New Roman" w:hAnsi="Times New Roman" w:cs="Times New Roman"/>
          <w:sz w:val="24"/>
          <w:szCs w:val="24"/>
        </w:rPr>
        <w:t>Северо-Курильск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9E7FC1" w:rsidRPr="00945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округ»</w:t>
      </w:r>
      <w:r w:rsidR="009E7FC1" w:rsidRPr="0094544A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E7FC1" w:rsidRPr="0094544A">
        <w:rPr>
          <w:rFonts w:ascii="Times New Roman" w:hAnsi="Times New Roman" w:cs="Times New Roman"/>
          <w:sz w:val="24"/>
          <w:szCs w:val="24"/>
        </w:rPr>
        <w:t xml:space="preserve"> год </w:t>
      </w:r>
      <w:r w:rsidR="00D148A0" w:rsidRPr="0094544A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D148A0" w:rsidRPr="0094544A" w:rsidRDefault="00183444" w:rsidP="001834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742E" w:rsidRPr="00B0742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сетевом издании «Курильский рыбак» (http://krsevkur.ru/) и обнародовать путём размещения на официальном сайте администрации Северо-Курильского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B0742E" w:rsidRPr="00B0742E">
        <w:rPr>
          <w:rFonts w:ascii="Times New Roman" w:hAnsi="Times New Roman" w:cs="Times New Roman"/>
          <w:sz w:val="24"/>
          <w:szCs w:val="24"/>
        </w:rPr>
        <w:t xml:space="preserve"> округа (http://sevkur.sakhalin.gov.ru).</w:t>
      </w:r>
    </w:p>
    <w:p w:rsidR="00991CF0" w:rsidRPr="00966DC8" w:rsidRDefault="00991CF0" w:rsidP="00991C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66D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6DC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966DC8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966DC8">
        <w:rPr>
          <w:rFonts w:ascii="Times New Roman" w:hAnsi="Times New Roman" w:cs="Times New Roman"/>
          <w:sz w:val="24"/>
          <w:szCs w:val="24"/>
        </w:rPr>
        <w:t xml:space="preserve"> округа (</w:t>
      </w:r>
      <w:r>
        <w:rPr>
          <w:rFonts w:ascii="Times New Roman" w:hAnsi="Times New Roman" w:cs="Times New Roman"/>
          <w:sz w:val="24"/>
          <w:szCs w:val="24"/>
        </w:rPr>
        <w:t>М.П. Косоног</w:t>
      </w:r>
      <w:r w:rsidRPr="00966DC8">
        <w:rPr>
          <w:rFonts w:ascii="Times New Roman" w:hAnsi="Times New Roman" w:cs="Times New Roman"/>
          <w:sz w:val="24"/>
          <w:szCs w:val="24"/>
        </w:rPr>
        <w:t>).</w:t>
      </w:r>
    </w:p>
    <w:p w:rsidR="00991CF0" w:rsidRDefault="00991CF0" w:rsidP="00991CF0">
      <w:pPr>
        <w:ind w:left="-284"/>
      </w:pPr>
    </w:p>
    <w:p w:rsidR="00991CF0" w:rsidRPr="00966DC8" w:rsidRDefault="00991CF0" w:rsidP="00991CF0">
      <w:pPr>
        <w:ind w:left="-284"/>
      </w:pPr>
    </w:p>
    <w:p w:rsidR="00991CF0" w:rsidRDefault="00991CF0" w:rsidP="00991CF0">
      <w:proofErr w:type="gramStart"/>
      <w:r>
        <w:t>Исполняющий</w:t>
      </w:r>
      <w:proofErr w:type="gramEnd"/>
      <w:r>
        <w:t xml:space="preserve"> обязанности мэра</w:t>
      </w:r>
      <w:r w:rsidRPr="00966DC8">
        <w:t xml:space="preserve"> </w:t>
      </w:r>
    </w:p>
    <w:p w:rsidR="00991CF0" w:rsidRPr="00966DC8" w:rsidRDefault="00991CF0" w:rsidP="00991CF0">
      <w:r w:rsidRPr="00966DC8">
        <w:t xml:space="preserve">Северо-Курильского </w:t>
      </w:r>
      <w:r>
        <w:t>муниципального</w:t>
      </w:r>
      <w:r w:rsidRPr="00966DC8">
        <w:t xml:space="preserve"> округа </w:t>
      </w:r>
      <w:r w:rsidRPr="00966DC8">
        <w:tab/>
      </w:r>
      <w:r w:rsidRPr="00966DC8">
        <w:tab/>
      </w:r>
      <w:r w:rsidRPr="00966DC8">
        <w:tab/>
      </w:r>
      <w:r>
        <w:tab/>
      </w:r>
      <w:r>
        <w:tab/>
        <w:t>О.В. Мокрушина</w:t>
      </w:r>
    </w:p>
    <w:p w:rsidR="0094544A" w:rsidRDefault="0094544A">
      <w:pPr>
        <w:spacing w:after="200" w:line="276" w:lineRule="auto"/>
      </w:pPr>
      <w:r>
        <w:br w:type="page"/>
      </w:r>
    </w:p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022"/>
        <w:gridCol w:w="4819"/>
      </w:tblGrid>
      <w:tr w:rsidR="00D148A0" w:rsidTr="00183444">
        <w:tc>
          <w:tcPr>
            <w:tcW w:w="3190" w:type="dxa"/>
          </w:tcPr>
          <w:p w:rsidR="00D148A0" w:rsidRDefault="00D148A0" w:rsidP="00FD6399">
            <w:pPr>
              <w:rPr>
                <w:b/>
                <w:bCs/>
              </w:rPr>
            </w:pPr>
          </w:p>
        </w:tc>
        <w:tc>
          <w:tcPr>
            <w:tcW w:w="2022" w:type="dxa"/>
          </w:tcPr>
          <w:p w:rsidR="00D148A0" w:rsidRDefault="00D148A0" w:rsidP="00FD6399">
            <w:pPr>
              <w:rPr>
                <w:b/>
                <w:bCs/>
              </w:rPr>
            </w:pPr>
          </w:p>
        </w:tc>
        <w:tc>
          <w:tcPr>
            <w:tcW w:w="4819" w:type="dxa"/>
          </w:tcPr>
          <w:p w:rsidR="0094544A" w:rsidRDefault="00D148A0" w:rsidP="0094544A">
            <w:pPr>
              <w:jc w:val="right"/>
              <w:rPr>
                <w:bCs/>
              </w:rPr>
            </w:pPr>
            <w:r w:rsidRPr="00D148A0">
              <w:rPr>
                <w:bCs/>
              </w:rPr>
              <w:t xml:space="preserve">Утверждена </w:t>
            </w:r>
          </w:p>
          <w:p w:rsidR="00183444" w:rsidRDefault="0094544A" w:rsidP="00183444">
            <w:pPr>
              <w:jc w:val="right"/>
              <w:rPr>
                <w:bCs/>
              </w:rPr>
            </w:pPr>
            <w:r>
              <w:rPr>
                <w:bCs/>
              </w:rPr>
              <w:t>п</w:t>
            </w:r>
            <w:r w:rsidR="00D148A0" w:rsidRPr="00D148A0">
              <w:rPr>
                <w:bCs/>
              </w:rPr>
              <w:t xml:space="preserve">остановлением </w:t>
            </w:r>
            <w:r>
              <w:rPr>
                <w:bCs/>
              </w:rPr>
              <w:t>а</w:t>
            </w:r>
            <w:r w:rsidR="00D148A0" w:rsidRPr="00D148A0">
              <w:rPr>
                <w:bCs/>
              </w:rPr>
              <w:t xml:space="preserve">дминистрации </w:t>
            </w:r>
          </w:p>
          <w:p w:rsidR="00183444" w:rsidRDefault="00D148A0" w:rsidP="00183444">
            <w:pPr>
              <w:ind w:left="-249"/>
              <w:jc w:val="right"/>
              <w:rPr>
                <w:bCs/>
              </w:rPr>
            </w:pPr>
            <w:r w:rsidRPr="00D148A0">
              <w:rPr>
                <w:bCs/>
              </w:rPr>
              <w:t>Северо</w:t>
            </w:r>
            <w:r w:rsidR="00183444">
              <w:rPr>
                <w:bCs/>
              </w:rPr>
              <w:t>-</w:t>
            </w:r>
            <w:r w:rsidRPr="00D148A0">
              <w:rPr>
                <w:bCs/>
              </w:rPr>
              <w:t xml:space="preserve">Курильского </w:t>
            </w:r>
            <w:r w:rsidR="00183444">
              <w:rPr>
                <w:bCs/>
              </w:rPr>
              <w:t xml:space="preserve">муниципального </w:t>
            </w:r>
            <w:r w:rsidRPr="00D148A0">
              <w:rPr>
                <w:bCs/>
              </w:rPr>
              <w:t>округа</w:t>
            </w:r>
            <w:r w:rsidR="00D22AC6">
              <w:rPr>
                <w:bCs/>
              </w:rPr>
              <w:t xml:space="preserve"> </w:t>
            </w:r>
          </w:p>
          <w:p w:rsidR="00D148A0" w:rsidRPr="00D148A0" w:rsidRDefault="00D22AC6" w:rsidP="00183444">
            <w:pPr>
              <w:jc w:val="right"/>
              <w:rPr>
                <w:bCs/>
              </w:rPr>
            </w:pPr>
            <w:r>
              <w:rPr>
                <w:bCs/>
              </w:rPr>
              <w:t>от</w:t>
            </w:r>
            <w:r w:rsidR="00177597">
              <w:rPr>
                <w:bCs/>
              </w:rPr>
              <w:t xml:space="preserve"> </w:t>
            </w:r>
            <w:r w:rsidR="00EE1B21">
              <w:rPr>
                <w:bCs/>
              </w:rPr>
              <w:t>22</w:t>
            </w:r>
            <w:bookmarkStart w:id="0" w:name="_GoBack"/>
            <w:bookmarkEnd w:id="0"/>
            <w:r w:rsidR="00B0742E">
              <w:rPr>
                <w:bCs/>
              </w:rPr>
              <w:t>.12.202</w:t>
            </w:r>
            <w:r w:rsidR="00183444">
              <w:rPr>
                <w:bCs/>
              </w:rPr>
              <w:t>5</w:t>
            </w:r>
            <w:r w:rsidR="00B0742E">
              <w:rPr>
                <w:bCs/>
              </w:rPr>
              <w:t xml:space="preserve"> </w:t>
            </w:r>
            <w:r w:rsidR="00845C25">
              <w:rPr>
                <w:bCs/>
              </w:rPr>
              <w:t>№</w:t>
            </w:r>
            <w:r w:rsidR="00D148A0" w:rsidRPr="00D148A0">
              <w:rPr>
                <w:bCs/>
              </w:rPr>
              <w:t xml:space="preserve"> </w:t>
            </w:r>
            <w:r w:rsidR="00EE1B21">
              <w:rPr>
                <w:bCs/>
              </w:rPr>
              <w:t>534</w:t>
            </w:r>
          </w:p>
        </w:tc>
      </w:tr>
    </w:tbl>
    <w:p w:rsidR="00D148A0" w:rsidRDefault="00D148A0" w:rsidP="00FD6399">
      <w:pPr>
        <w:ind w:left="-284"/>
      </w:pPr>
    </w:p>
    <w:p w:rsidR="0094544A" w:rsidRPr="00B0742E" w:rsidRDefault="00D148A0" w:rsidP="00D148A0">
      <w:pPr>
        <w:ind w:left="-284"/>
        <w:jc w:val="center"/>
        <w:rPr>
          <w:b/>
        </w:rPr>
      </w:pPr>
      <w:r w:rsidRPr="00B0742E">
        <w:rPr>
          <w:b/>
        </w:rPr>
        <w:t xml:space="preserve">Программа </w:t>
      </w:r>
      <w:r w:rsidR="0094544A" w:rsidRPr="00B0742E">
        <w:rPr>
          <w:b/>
        </w:rPr>
        <w:t>профилактики</w:t>
      </w:r>
    </w:p>
    <w:p w:rsidR="00D148A0" w:rsidRDefault="009E7FC1" w:rsidP="00183444">
      <w:pPr>
        <w:jc w:val="center"/>
      </w:pPr>
      <w:r w:rsidRPr="00B0742E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183444">
        <w:rPr>
          <w:b/>
        </w:rPr>
        <w:t>муниципального образования «</w:t>
      </w:r>
      <w:r w:rsidRPr="00B0742E">
        <w:rPr>
          <w:b/>
        </w:rPr>
        <w:t>Северо-Курильск</w:t>
      </w:r>
      <w:r w:rsidR="00183444">
        <w:rPr>
          <w:b/>
        </w:rPr>
        <w:t>ий</w:t>
      </w:r>
      <w:r w:rsidRPr="00B0742E">
        <w:rPr>
          <w:b/>
        </w:rPr>
        <w:t xml:space="preserve"> </w:t>
      </w:r>
      <w:r w:rsidR="00183444">
        <w:rPr>
          <w:b/>
        </w:rPr>
        <w:t>муниципальный округ»</w:t>
      </w:r>
      <w:r w:rsidRPr="00B0742E">
        <w:rPr>
          <w:b/>
        </w:rPr>
        <w:t xml:space="preserve"> на 202</w:t>
      </w:r>
      <w:r w:rsidR="00183444">
        <w:rPr>
          <w:b/>
        </w:rPr>
        <w:t>6</w:t>
      </w:r>
      <w:r w:rsidRPr="00B0742E">
        <w:rPr>
          <w:b/>
        </w:rPr>
        <w:t xml:space="preserve"> год</w:t>
      </w:r>
    </w:p>
    <w:p w:rsidR="00D148A0" w:rsidRDefault="00D148A0" w:rsidP="00D148A0">
      <w:pPr>
        <w:ind w:left="-284"/>
        <w:jc w:val="both"/>
      </w:pPr>
    </w:p>
    <w:p w:rsidR="00D148A0" w:rsidRPr="003809EC" w:rsidRDefault="00D148A0" w:rsidP="00183444">
      <w:pPr>
        <w:jc w:val="both"/>
        <w:rPr>
          <w:bCs/>
        </w:rPr>
      </w:pPr>
      <w:r w:rsidRPr="003809EC">
        <w:rPr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148A0" w:rsidRPr="003809EC" w:rsidRDefault="00D148A0" w:rsidP="00183444">
      <w:pPr>
        <w:ind w:firstLine="568"/>
        <w:jc w:val="both"/>
        <w:rPr>
          <w:bCs/>
        </w:rPr>
      </w:pPr>
    </w:p>
    <w:p w:rsidR="008C0DE9" w:rsidRPr="003809EC" w:rsidRDefault="00D148A0" w:rsidP="00183444">
      <w:pPr>
        <w:ind w:firstLine="568"/>
        <w:jc w:val="both"/>
      </w:pPr>
      <w:proofErr w:type="gramStart"/>
      <w:r w:rsidRPr="003809EC">
        <w:rPr>
          <w:bCs/>
        </w:rPr>
        <w:t xml:space="preserve">Настоящая программа 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</w:t>
      </w:r>
      <w:r w:rsidR="00183444">
        <w:rPr>
          <w:bCs/>
        </w:rPr>
        <w:t xml:space="preserve">Положения </w:t>
      </w:r>
      <w:r w:rsidR="00183444" w:rsidRPr="00183444">
        <w:rPr>
          <w:bCs/>
        </w:rPr>
        <w:t>о муниципальном жилищном контроле на территории муниципального образования «Северо-Курильский муниципальный округ»</w:t>
      </w:r>
      <w:r w:rsidRPr="003809EC">
        <w:rPr>
          <w:bCs/>
        </w:rPr>
        <w:t xml:space="preserve">, утвержденным решением Собрания Северо-Курильского </w:t>
      </w:r>
      <w:r w:rsidR="00183444">
        <w:rPr>
          <w:bCs/>
        </w:rPr>
        <w:t>муниципального</w:t>
      </w:r>
      <w:r w:rsidRPr="003809EC">
        <w:rPr>
          <w:bCs/>
        </w:rPr>
        <w:t xml:space="preserve"> округа от </w:t>
      </w:r>
      <w:r w:rsidR="00183444">
        <w:rPr>
          <w:bCs/>
        </w:rPr>
        <w:t>17.07.2025</w:t>
      </w:r>
      <w:r w:rsidRPr="003809EC">
        <w:rPr>
          <w:bCs/>
        </w:rPr>
        <w:t xml:space="preserve"> № </w:t>
      </w:r>
      <w:r w:rsidR="00183444">
        <w:rPr>
          <w:bCs/>
        </w:rPr>
        <w:t>8/40-7</w:t>
      </w:r>
      <w:r w:rsidRPr="003809EC">
        <w:rPr>
          <w:bCs/>
        </w:rPr>
        <w:t xml:space="preserve"> (далее - Положение о муниципальном контроле) </w:t>
      </w:r>
      <w:r w:rsidR="009E7FC1" w:rsidRPr="003809EC">
        <w:rPr>
          <w:bCs/>
        </w:rPr>
        <w:t xml:space="preserve">и предусматривает комплекс мероприятий </w:t>
      </w:r>
      <w:r w:rsidR="008C0DE9" w:rsidRPr="003809EC">
        <w:t>направленных на предупреждение, выявление и пресечение</w:t>
      </w:r>
      <w:proofErr w:type="gramEnd"/>
      <w:r w:rsidR="008C0DE9" w:rsidRPr="003809EC">
        <w:t xml:space="preserve"> </w:t>
      </w:r>
      <w:proofErr w:type="gramStart"/>
      <w:r w:rsidR="008C0DE9" w:rsidRPr="003809EC">
        <w:t xml:space="preserve">нарушений обязательных требований, установленных в соответствии с жилищным законодательством, законодательством об энергосбережении и о повышении энергетической эффективности (далее - обязательные требования) в отношении муниципального жилищного фонда Северо-Курильского </w:t>
      </w:r>
      <w:r w:rsidR="00183444">
        <w:t>муниципального</w:t>
      </w:r>
      <w:r w:rsidR="008C0DE9" w:rsidRPr="003809EC">
        <w:t xml:space="preserve"> округа, осуществляемых в пределах полномочий Контрольным органом посредством профилактики нарушений обязательных требований, оценки соблюдения контролируемыми лицами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</w:t>
      </w:r>
      <w:proofErr w:type="gramEnd"/>
      <w:r w:rsidR="008C0DE9" w:rsidRPr="003809EC">
        <w:t>, устранению их последствий и (или) восстановлению правового положения, существовавшего до возникновения таких нарушений.</w:t>
      </w:r>
    </w:p>
    <w:p w:rsidR="00D148A0" w:rsidRPr="003809EC" w:rsidRDefault="00D148A0" w:rsidP="00183444">
      <w:pPr>
        <w:ind w:firstLine="568"/>
        <w:jc w:val="both"/>
        <w:rPr>
          <w:bCs/>
        </w:rPr>
      </w:pPr>
      <w:r w:rsidRPr="003809EC">
        <w:rPr>
          <w:bCs/>
        </w:rPr>
        <w:t xml:space="preserve">Контрольным органом по осуществлению муниципального контроля является администрация Северо-Курильского </w:t>
      </w:r>
      <w:r w:rsidR="00183444">
        <w:rPr>
          <w:bCs/>
        </w:rPr>
        <w:t>муниципального</w:t>
      </w:r>
      <w:r w:rsidRPr="003809EC">
        <w:rPr>
          <w:bCs/>
        </w:rPr>
        <w:t xml:space="preserve"> округа в лице уполномоченного органа - отдела </w:t>
      </w:r>
      <w:r w:rsidR="008C0DE9" w:rsidRPr="003809EC">
        <w:rPr>
          <w:bCs/>
        </w:rPr>
        <w:t xml:space="preserve">экономического развития администрации Северо-Курильского </w:t>
      </w:r>
      <w:r w:rsidR="00183444">
        <w:rPr>
          <w:bCs/>
        </w:rPr>
        <w:t>муниципального округа</w:t>
      </w:r>
      <w:r w:rsidRPr="003809EC">
        <w:rPr>
          <w:bCs/>
        </w:rPr>
        <w:t xml:space="preserve"> (далее – Отдел).</w:t>
      </w:r>
    </w:p>
    <w:p w:rsidR="00D148A0" w:rsidRPr="003809EC" w:rsidRDefault="00D148A0" w:rsidP="00183444">
      <w:pPr>
        <w:ind w:firstLine="568"/>
        <w:jc w:val="both"/>
        <w:rPr>
          <w:bCs/>
        </w:rPr>
      </w:pPr>
      <w:r w:rsidRPr="003809EC">
        <w:rPr>
          <w:bCs/>
        </w:rPr>
        <w:t>При осуществлении муниципального контроля Отдел осуществляет контроль:</w:t>
      </w:r>
    </w:p>
    <w:p w:rsidR="00DB0A91" w:rsidRPr="00DB0A91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1. </w:t>
      </w:r>
      <w:r w:rsidR="00DB0A91" w:rsidRPr="00DB0A91">
        <w:rPr>
          <w:bCs/>
        </w:rPr>
        <w:t>соблюдения контролируемыми лицами обязательных требований, установленных нормативными правовыми актами в отношении муниципального жилищного фонда;</w:t>
      </w:r>
    </w:p>
    <w:p w:rsidR="00DB0A91" w:rsidRPr="00DB0A91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2. </w:t>
      </w:r>
      <w:r w:rsidR="00DB0A91" w:rsidRPr="00DB0A91">
        <w:rPr>
          <w:bCs/>
        </w:rPr>
        <w:t xml:space="preserve">соблюдения (реализация) требований, содержащихся в разрешительных документах, выданных органами местного самоуправления Северо-Курильского </w:t>
      </w:r>
      <w:r>
        <w:rPr>
          <w:bCs/>
        </w:rPr>
        <w:t xml:space="preserve">муниципального </w:t>
      </w:r>
      <w:r w:rsidR="00DB0A91" w:rsidRPr="00DB0A91">
        <w:rPr>
          <w:bCs/>
        </w:rPr>
        <w:t>округа;</w:t>
      </w:r>
    </w:p>
    <w:p w:rsidR="00DB0A91" w:rsidRPr="00DB0A91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3. </w:t>
      </w:r>
      <w:r w:rsidR="00DB0A91" w:rsidRPr="00DB0A91">
        <w:rPr>
          <w:bCs/>
        </w:rPr>
        <w:t>соблюдения требований документов, исполнение которых является необходимым в соответствии с законодательством Российской Федерации;</w:t>
      </w:r>
    </w:p>
    <w:p w:rsidR="00DB0A91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4. </w:t>
      </w:r>
      <w:r w:rsidR="00DB0A91">
        <w:rPr>
          <w:bCs/>
        </w:rPr>
        <w:t xml:space="preserve">за </w:t>
      </w:r>
      <w:r w:rsidR="00DB0A91" w:rsidRPr="00DB0A91">
        <w:rPr>
          <w:bCs/>
        </w:rPr>
        <w:t>исполнение</w:t>
      </w:r>
      <w:r w:rsidR="00DB0A91">
        <w:rPr>
          <w:bCs/>
        </w:rPr>
        <w:t>м</w:t>
      </w:r>
      <w:r w:rsidR="00DB0A91" w:rsidRPr="00DB0A91">
        <w:rPr>
          <w:bCs/>
        </w:rPr>
        <w:t xml:space="preserve"> решений, принимаемых по результатам контрольных (надзорных) мероприятий.</w:t>
      </w:r>
    </w:p>
    <w:p w:rsidR="00D148A0" w:rsidRPr="003809EC" w:rsidRDefault="009E7FC1" w:rsidP="00183444">
      <w:pPr>
        <w:ind w:firstLine="568"/>
        <w:jc w:val="both"/>
        <w:rPr>
          <w:bCs/>
        </w:rPr>
      </w:pPr>
      <w:r w:rsidRPr="003809EC">
        <w:rPr>
          <w:bCs/>
        </w:rPr>
        <w:t xml:space="preserve">Подконтрольными субъектами муниципального контроля являются юридические лица, индивидуальные предприниматели и граждане в части исполнения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в результате </w:t>
      </w:r>
      <w:proofErr w:type="gramStart"/>
      <w:r w:rsidRPr="003809EC">
        <w:rPr>
          <w:bCs/>
        </w:rPr>
        <w:t>деятельности</w:t>
      </w:r>
      <w:proofErr w:type="gramEnd"/>
      <w:r w:rsidRPr="003809EC">
        <w:rPr>
          <w:bCs/>
        </w:rPr>
        <w:t xml:space="preserve"> которых могут быть допущены нарушения обязательных требований в отношении муниципального жилищного фонда, требований, установленных муниципальными правовыми актами, оценка соблюдения которых является предметом муниципального контроля.</w:t>
      </w:r>
    </w:p>
    <w:p w:rsidR="00BF2B41" w:rsidRPr="003809EC" w:rsidRDefault="00BF2B41" w:rsidP="00183444">
      <w:pPr>
        <w:ind w:firstLine="568"/>
        <w:jc w:val="both"/>
        <w:rPr>
          <w:bCs/>
        </w:rPr>
      </w:pPr>
      <w:r w:rsidRPr="003809EC">
        <w:rPr>
          <w:bCs/>
        </w:rPr>
        <w:lastRenderedPageBreak/>
        <w:t xml:space="preserve">Штатная численность Отдела составляет </w:t>
      </w:r>
      <w:r w:rsidR="00845C25">
        <w:rPr>
          <w:bCs/>
        </w:rPr>
        <w:t>5</w:t>
      </w:r>
      <w:r w:rsidRPr="003809EC">
        <w:rPr>
          <w:bCs/>
        </w:rPr>
        <w:t xml:space="preserve"> человек. В период с 01.01.202</w:t>
      </w:r>
      <w:r w:rsidR="00183444">
        <w:rPr>
          <w:bCs/>
        </w:rPr>
        <w:t>5</w:t>
      </w:r>
      <w:r w:rsidRPr="003809EC">
        <w:rPr>
          <w:bCs/>
        </w:rPr>
        <w:t xml:space="preserve"> по </w:t>
      </w:r>
      <w:r w:rsidR="00845C25">
        <w:rPr>
          <w:bCs/>
        </w:rPr>
        <w:t>30.09.202</w:t>
      </w:r>
      <w:r w:rsidR="00183444">
        <w:rPr>
          <w:bCs/>
        </w:rPr>
        <w:t>5</w:t>
      </w:r>
      <w:r w:rsidRPr="003809EC">
        <w:rPr>
          <w:bCs/>
        </w:rPr>
        <w:t xml:space="preserve"> контрольные мероприятия не проводились.</w:t>
      </w:r>
    </w:p>
    <w:p w:rsidR="00576320" w:rsidRPr="003809EC" w:rsidRDefault="00576320" w:rsidP="00183444">
      <w:pPr>
        <w:jc w:val="both"/>
        <w:rPr>
          <w:bCs/>
          <w:color w:val="000000"/>
        </w:rPr>
      </w:pPr>
    </w:p>
    <w:p w:rsidR="00BF2B41" w:rsidRPr="003809EC" w:rsidRDefault="00BF2B41" w:rsidP="00183444">
      <w:pPr>
        <w:jc w:val="both"/>
        <w:rPr>
          <w:bCs/>
          <w:color w:val="000000"/>
        </w:rPr>
      </w:pPr>
      <w:r w:rsidRPr="003809EC">
        <w:rPr>
          <w:bCs/>
          <w:color w:val="000000"/>
        </w:rPr>
        <w:t xml:space="preserve">Раздел 2. Цели и задачи </w:t>
      </w:r>
      <w:proofErr w:type="gramStart"/>
      <w:r w:rsidRPr="003809EC">
        <w:rPr>
          <w:bCs/>
          <w:color w:val="000000"/>
        </w:rPr>
        <w:t>реализации программы профилактики рисков причинения вреда</w:t>
      </w:r>
      <w:proofErr w:type="gramEnd"/>
    </w:p>
    <w:p w:rsidR="00576320" w:rsidRPr="003809EC" w:rsidRDefault="00576320" w:rsidP="00183444">
      <w:pPr>
        <w:ind w:firstLine="568"/>
        <w:jc w:val="center"/>
        <w:rPr>
          <w:b/>
          <w:bCs/>
          <w:color w:val="000000"/>
        </w:rPr>
      </w:pPr>
    </w:p>
    <w:p w:rsidR="00576320" w:rsidRPr="003809EC" w:rsidRDefault="00576320" w:rsidP="00183444">
      <w:pPr>
        <w:ind w:firstLine="568"/>
        <w:jc w:val="both"/>
        <w:rPr>
          <w:bCs/>
        </w:rPr>
      </w:pPr>
      <w:r w:rsidRPr="003809EC">
        <w:rPr>
          <w:bCs/>
        </w:rPr>
        <w:t>Основными целями программы профилактики являются: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1. </w:t>
      </w:r>
      <w:r w:rsidR="00576320" w:rsidRPr="003809EC">
        <w:rPr>
          <w:bCs/>
        </w:rPr>
        <w:t>Стимулирование добросовестного соблюдения обязательных требований контролируемыми лицами;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2. </w:t>
      </w:r>
      <w:r w:rsidR="00576320" w:rsidRPr="003809EC">
        <w:rPr>
          <w:bCs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3. </w:t>
      </w:r>
      <w:r w:rsidR="00576320" w:rsidRPr="003809EC">
        <w:rPr>
          <w:bCs/>
        </w:rPr>
        <w:t>Создание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576320" w:rsidRPr="003809EC" w:rsidRDefault="00576320" w:rsidP="00183444">
      <w:pPr>
        <w:ind w:firstLine="568"/>
        <w:jc w:val="both"/>
        <w:rPr>
          <w:bCs/>
        </w:rPr>
      </w:pPr>
      <w:r w:rsidRPr="003809EC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1. </w:t>
      </w:r>
      <w:r w:rsidR="00576320" w:rsidRPr="003809EC">
        <w:rPr>
          <w:bCs/>
        </w:rPr>
        <w:t xml:space="preserve">Укрепление </w:t>
      </w:r>
      <w:proofErr w:type="gramStart"/>
      <w:r w:rsidR="00576320" w:rsidRPr="003809EC">
        <w:rPr>
          <w:bCs/>
        </w:rPr>
        <w:t>системы профилактики нарушений рисков причинения</w:t>
      </w:r>
      <w:proofErr w:type="gramEnd"/>
      <w:r w:rsidR="00576320" w:rsidRPr="003809EC">
        <w:rPr>
          <w:bCs/>
        </w:rPr>
        <w:t xml:space="preserve"> вреда (ущерба) охраняемым законом ценностям.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2. </w:t>
      </w:r>
      <w:r w:rsidR="00576320" w:rsidRPr="003809EC">
        <w:rPr>
          <w:bCs/>
        </w:rPr>
        <w:t>Повышение правосознания и правовой культуры юридических лиц, индивидуальных предпринимателей и граждан.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3. </w:t>
      </w:r>
      <w:r w:rsidR="00576320" w:rsidRPr="003809EC">
        <w:rPr>
          <w:bCs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4. </w:t>
      </w:r>
      <w:r w:rsidR="00576320" w:rsidRPr="003809EC">
        <w:rPr>
          <w:bCs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76320" w:rsidRPr="003809EC" w:rsidRDefault="00183444" w:rsidP="00183444">
      <w:pPr>
        <w:ind w:firstLine="568"/>
        <w:jc w:val="both"/>
        <w:rPr>
          <w:bCs/>
        </w:rPr>
      </w:pPr>
      <w:r>
        <w:rPr>
          <w:bCs/>
        </w:rPr>
        <w:t xml:space="preserve">5. </w:t>
      </w:r>
      <w:r w:rsidR="00576320" w:rsidRPr="003809EC">
        <w:rPr>
          <w:bCs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76320" w:rsidRPr="003809EC" w:rsidRDefault="00576320" w:rsidP="00183444">
      <w:pPr>
        <w:jc w:val="both"/>
        <w:rPr>
          <w:bCs/>
        </w:rPr>
      </w:pPr>
    </w:p>
    <w:p w:rsidR="00576320" w:rsidRPr="003809EC" w:rsidRDefault="00576320" w:rsidP="00183444">
      <w:pPr>
        <w:jc w:val="both"/>
        <w:rPr>
          <w:bCs/>
        </w:rPr>
      </w:pPr>
      <w:r w:rsidRPr="003809EC">
        <w:rPr>
          <w:bCs/>
        </w:rPr>
        <w:t>Раздел 3. Перечень профилактических мероприятий, сроки (периодичность) их проведения</w:t>
      </w:r>
    </w:p>
    <w:p w:rsidR="00576320" w:rsidRDefault="00576320" w:rsidP="00183444">
      <w:pPr>
        <w:jc w:val="both"/>
        <w:rPr>
          <w:bCs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77"/>
        <w:gridCol w:w="2899"/>
        <w:gridCol w:w="3996"/>
      </w:tblGrid>
      <w:tr w:rsidR="00576320" w:rsidTr="00183444">
        <w:tc>
          <w:tcPr>
            <w:tcW w:w="567" w:type="dxa"/>
          </w:tcPr>
          <w:p w:rsidR="00576320" w:rsidRPr="00576320" w:rsidRDefault="00576320" w:rsidP="00183444">
            <w:pPr>
              <w:jc w:val="both"/>
              <w:rPr>
                <w:bCs/>
              </w:rPr>
            </w:pPr>
            <w:r w:rsidRPr="00576320">
              <w:rPr>
                <w:bCs/>
              </w:rPr>
              <w:t>№</w:t>
            </w:r>
          </w:p>
          <w:p w:rsidR="00576320" w:rsidRDefault="00576320" w:rsidP="00183444">
            <w:pPr>
              <w:jc w:val="both"/>
              <w:rPr>
                <w:bCs/>
              </w:rPr>
            </w:pPr>
            <w:proofErr w:type="gramStart"/>
            <w:r w:rsidRPr="00576320">
              <w:rPr>
                <w:bCs/>
              </w:rPr>
              <w:t>п</w:t>
            </w:r>
            <w:proofErr w:type="gramEnd"/>
            <w:r w:rsidRPr="00576320">
              <w:rPr>
                <w:bCs/>
              </w:rPr>
              <w:t>/п</w:t>
            </w:r>
          </w:p>
        </w:tc>
        <w:tc>
          <w:tcPr>
            <w:tcW w:w="2177" w:type="dxa"/>
          </w:tcPr>
          <w:p w:rsidR="00576320" w:rsidRDefault="00576320" w:rsidP="00183444">
            <w:pPr>
              <w:jc w:val="center"/>
              <w:rPr>
                <w:bCs/>
              </w:rPr>
            </w:pPr>
            <w:r w:rsidRPr="00576320">
              <w:rPr>
                <w:bCs/>
              </w:rPr>
              <w:t>Наименование</w:t>
            </w:r>
            <w:r>
              <w:rPr>
                <w:bCs/>
              </w:rPr>
              <w:t xml:space="preserve"> </w:t>
            </w:r>
            <w:r w:rsidRPr="00576320">
              <w:rPr>
                <w:bCs/>
              </w:rPr>
              <w:t>мероприятия</w:t>
            </w:r>
          </w:p>
        </w:tc>
        <w:tc>
          <w:tcPr>
            <w:tcW w:w="2899" w:type="dxa"/>
          </w:tcPr>
          <w:p w:rsidR="00576320" w:rsidRDefault="00576320" w:rsidP="00183444">
            <w:pPr>
              <w:jc w:val="center"/>
              <w:rPr>
                <w:bCs/>
              </w:rPr>
            </w:pPr>
            <w:r w:rsidRPr="00576320">
              <w:rPr>
                <w:bCs/>
              </w:rPr>
              <w:t>Срок исполнения</w:t>
            </w:r>
          </w:p>
        </w:tc>
        <w:tc>
          <w:tcPr>
            <w:tcW w:w="3996" w:type="dxa"/>
          </w:tcPr>
          <w:p w:rsidR="00576320" w:rsidRDefault="00576320" w:rsidP="00183444">
            <w:pPr>
              <w:jc w:val="center"/>
              <w:rPr>
                <w:bCs/>
              </w:rPr>
            </w:pPr>
            <w:r w:rsidRPr="00576320">
              <w:rPr>
                <w:bCs/>
              </w:rPr>
              <w:t>Структурное подразделение, ответственное за реализацию</w:t>
            </w:r>
          </w:p>
        </w:tc>
      </w:tr>
      <w:tr w:rsidR="00576320" w:rsidTr="00183444">
        <w:tc>
          <w:tcPr>
            <w:tcW w:w="567" w:type="dxa"/>
          </w:tcPr>
          <w:p w:rsidR="00576320" w:rsidRDefault="00576320" w:rsidP="0018344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77" w:type="dxa"/>
          </w:tcPr>
          <w:p w:rsidR="00576320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Информирование</w:t>
            </w:r>
          </w:p>
        </w:tc>
        <w:tc>
          <w:tcPr>
            <w:tcW w:w="2899" w:type="dxa"/>
          </w:tcPr>
          <w:p w:rsidR="00576320" w:rsidRP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постоянно</w:t>
            </w:r>
          </w:p>
        </w:tc>
        <w:tc>
          <w:tcPr>
            <w:tcW w:w="3996" w:type="dxa"/>
          </w:tcPr>
          <w:p w:rsidR="00576320" w:rsidRPr="004577F9" w:rsidRDefault="003809EC" w:rsidP="00183444">
            <w:pPr>
              <w:jc w:val="both"/>
              <w:rPr>
                <w:bCs/>
              </w:rPr>
            </w:pPr>
            <w:r>
              <w:rPr>
                <w:bCs/>
              </w:rPr>
              <w:t>отдел</w:t>
            </w:r>
            <w:r w:rsidRPr="003809EC">
              <w:rPr>
                <w:bCs/>
              </w:rPr>
              <w:t xml:space="preserve"> экономического развития администрации Северо-Курильского </w:t>
            </w:r>
            <w:r w:rsidR="00183444">
              <w:rPr>
                <w:bCs/>
              </w:rPr>
              <w:t xml:space="preserve">муниципального </w:t>
            </w:r>
            <w:r w:rsidRPr="003809EC">
              <w:rPr>
                <w:bCs/>
              </w:rPr>
              <w:t>округа</w:t>
            </w:r>
          </w:p>
        </w:tc>
      </w:tr>
      <w:tr w:rsidR="00576320" w:rsidTr="00183444">
        <w:tc>
          <w:tcPr>
            <w:tcW w:w="567" w:type="dxa"/>
          </w:tcPr>
          <w:p w:rsidR="00576320" w:rsidRDefault="00576320" w:rsidP="0018344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77" w:type="dxa"/>
          </w:tcPr>
          <w:p w:rsidR="00576320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Объявление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>предостережений</w:t>
            </w:r>
          </w:p>
        </w:tc>
        <w:tc>
          <w:tcPr>
            <w:tcW w:w="2899" w:type="dxa"/>
          </w:tcPr>
          <w:p w:rsidR="00576320" w:rsidRP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постоянно, при наличии оснований, предусмотренных ст.</w:t>
            </w:r>
            <w:r>
              <w:rPr>
                <w:bCs/>
              </w:rPr>
              <w:t xml:space="preserve"> 49 </w:t>
            </w:r>
            <w:r w:rsidRPr="004577F9">
              <w:rPr>
                <w:bCs/>
              </w:rPr>
              <w:t xml:space="preserve">Федерального закона от 31.07.2020 № 248-ФЗ «О государственном контроле (надзоре) и муниципальном </w:t>
            </w:r>
            <w:r w:rsidRPr="00352470">
              <w:rPr>
                <w:color w:val="000000"/>
              </w:rPr>
              <w:t>контроле Российской Федерации»</w:t>
            </w:r>
          </w:p>
        </w:tc>
        <w:tc>
          <w:tcPr>
            <w:tcW w:w="3996" w:type="dxa"/>
          </w:tcPr>
          <w:p w:rsidR="00576320" w:rsidRPr="004577F9" w:rsidRDefault="003809EC" w:rsidP="00183444">
            <w:pPr>
              <w:jc w:val="both"/>
              <w:rPr>
                <w:bCs/>
              </w:rPr>
            </w:pPr>
            <w:r w:rsidRPr="003809EC">
              <w:rPr>
                <w:bCs/>
              </w:rPr>
              <w:t xml:space="preserve">отдел экономического развития администрации Северо-Курильского </w:t>
            </w:r>
            <w:r w:rsidR="00183444">
              <w:rPr>
                <w:bCs/>
              </w:rPr>
              <w:t>муниципального</w:t>
            </w:r>
            <w:r w:rsidRPr="003809EC">
              <w:rPr>
                <w:bCs/>
              </w:rPr>
              <w:t xml:space="preserve"> округа</w:t>
            </w:r>
          </w:p>
        </w:tc>
      </w:tr>
      <w:tr w:rsidR="00576320" w:rsidTr="00183444">
        <w:tc>
          <w:tcPr>
            <w:tcW w:w="567" w:type="dxa"/>
          </w:tcPr>
          <w:p w:rsidR="00576320" w:rsidRDefault="00576320" w:rsidP="00183444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77" w:type="dxa"/>
          </w:tcPr>
          <w:p w:rsid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</w:t>
            </w:r>
          </w:p>
          <w:p w:rsidR="004577F9" w:rsidRDefault="004577F9" w:rsidP="00183444">
            <w:pPr>
              <w:jc w:val="both"/>
              <w:rPr>
                <w:bCs/>
              </w:rPr>
            </w:pPr>
          </w:p>
          <w:p w:rsidR="004577F9" w:rsidRP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 xml:space="preserve">Консультирование контролируемых лиц осуществляется должностным лицом, уполномоченным </w:t>
            </w:r>
            <w:r w:rsidRPr="004577F9">
              <w:rPr>
                <w:bCs/>
              </w:rPr>
              <w:lastRenderedPageBreak/>
              <w:t>осуществлять муниципальный контроль,</w:t>
            </w:r>
            <w:r>
              <w:rPr>
                <w:bCs/>
              </w:rPr>
              <w:t xml:space="preserve"> по телефону, посредством видео</w:t>
            </w:r>
            <w:r w:rsidRPr="004577F9">
              <w:rPr>
                <w:bCs/>
              </w:rPr>
              <w:t>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576320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Время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 не должно превышать 15 минут. </w:t>
            </w:r>
          </w:p>
          <w:p w:rsidR="004577F9" w:rsidRDefault="004577F9" w:rsidP="00183444">
            <w:pPr>
              <w:jc w:val="both"/>
              <w:rPr>
                <w:bCs/>
              </w:rPr>
            </w:pPr>
          </w:p>
          <w:p w:rsidR="004577F9" w:rsidRP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 осуществляется по следующим вопросам:</w:t>
            </w:r>
          </w:p>
          <w:p w:rsidR="004577F9" w:rsidRP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1)</w:t>
            </w:r>
            <w:r w:rsidRPr="004577F9">
              <w:rPr>
                <w:bCs/>
              </w:rPr>
              <w:tab/>
              <w:t>организация и осуществление муниципального контроля;</w:t>
            </w:r>
          </w:p>
          <w:p w:rsid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2)</w:t>
            </w:r>
            <w:r w:rsidRPr="004577F9">
              <w:rPr>
                <w:bCs/>
              </w:rPr>
              <w:tab/>
              <w:t xml:space="preserve">порядок </w:t>
            </w:r>
            <w:r w:rsidR="00183444">
              <w:rPr>
                <w:bCs/>
              </w:rPr>
              <w:t xml:space="preserve">осуществления профилактических, </w:t>
            </w:r>
            <w:r w:rsidRPr="004577F9">
              <w:rPr>
                <w:bCs/>
              </w:rPr>
              <w:t>контр</w:t>
            </w:r>
            <w:r>
              <w:rPr>
                <w:bCs/>
              </w:rPr>
              <w:t>ольных (надзорных) мероприятий;</w:t>
            </w:r>
          </w:p>
          <w:p w:rsidR="004577F9" w:rsidRDefault="004577F9" w:rsidP="00183444">
            <w:pPr>
              <w:jc w:val="both"/>
              <w:rPr>
                <w:bCs/>
              </w:rPr>
            </w:pPr>
          </w:p>
          <w:p w:rsidR="004577F9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Консультирование в письменной форме осуществляется должностным лицом, уполномоченным осуществлять муниципальный контроль в следующих случаях:</w:t>
            </w:r>
          </w:p>
          <w:p w:rsidR="004577F9" w:rsidRDefault="004577F9" w:rsidP="0018344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контролируемым лицом представлен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письменный запрос о </w:t>
            </w:r>
            <w:r w:rsidRPr="004577F9">
              <w:rPr>
                <w:bCs/>
              </w:rPr>
              <w:lastRenderedPageBreak/>
              <w:t>предоставлении письменного ответа по вопросам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консультирования; </w:t>
            </w:r>
          </w:p>
          <w:p w:rsidR="004577F9" w:rsidRDefault="004577F9" w:rsidP="0018344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за время</w:t>
            </w:r>
            <w:r>
              <w:rPr>
                <w:bCs/>
              </w:rPr>
              <w:t xml:space="preserve"> </w:t>
            </w:r>
            <w:r w:rsidRPr="004577F9">
              <w:rPr>
                <w:bCs/>
              </w:rPr>
              <w:t xml:space="preserve">консультирования предоставить ответ на поставленные вопросы невозможно; </w:t>
            </w:r>
          </w:p>
          <w:p w:rsidR="004577F9" w:rsidRDefault="004577F9" w:rsidP="0018344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577F9">
              <w:rPr>
                <w:bCs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  <w:p w:rsidR="004577F9" w:rsidRDefault="004577F9" w:rsidP="00183444">
            <w:pPr>
              <w:jc w:val="both"/>
              <w:rPr>
                <w:bCs/>
              </w:rPr>
            </w:pPr>
          </w:p>
        </w:tc>
        <w:tc>
          <w:tcPr>
            <w:tcW w:w="2899" w:type="dxa"/>
          </w:tcPr>
          <w:p w:rsidR="004577F9" w:rsidRPr="004577F9" w:rsidRDefault="004577F9" w:rsidP="0018344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по мере обращения </w:t>
            </w:r>
            <w:proofErr w:type="gramStart"/>
            <w:r w:rsidRPr="004577F9">
              <w:rPr>
                <w:bCs/>
              </w:rPr>
              <w:t>подконтрольных</w:t>
            </w:r>
            <w:proofErr w:type="gramEnd"/>
          </w:p>
          <w:p w:rsidR="00576320" w:rsidRDefault="004577F9" w:rsidP="00183444">
            <w:pPr>
              <w:jc w:val="both"/>
              <w:rPr>
                <w:bCs/>
              </w:rPr>
            </w:pPr>
            <w:r w:rsidRPr="004577F9">
              <w:rPr>
                <w:bCs/>
              </w:rPr>
              <w:t>субъектов</w:t>
            </w:r>
          </w:p>
        </w:tc>
        <w:tc>
          <w:tcPr>
            <w:tcW w:w="3996" w:type="dxa"/>
          </w:tcPr>
          <w:p w:rsidR="00576320" w:rsidRDefault="003809EC" w:rsidP="00183444">
            <w:pPr>
              <w:jc w:val="both"/>
              <w:rPr>
                <w:bCs/>
              </w:rPr>
            </w:pPr>
            <w:r w:rsidRPr="003809EC">
              <w:rPr>
                <w:bCs/>
              </w:rPr>
              <w:t xml:space="preserve">отдел экономического развития администрации Северо-Курильского </w:t>
            </w:r>
            <w:r w:rsidR="00183444">
              <w:rPr>
                <w:bCs/>
              </w:rPr>
              <w:t>муниципального</w:t>
            </w:r>
            <w:r w:rsidRPr="003809EC">
              <w:rPr>
                <w:bCs/>
              </w:rPr>
              <w:t xml:space="preserve"> округа</w:t>
            </w:r>
          </w:p>
        </w:tc>
      </w:tr>
    </w:tbl>
    <w:p w:rsidR="00576320" w:rsidRDefault="00576320" w:rsidP="00183444">
      <w:pPr>
        <w:jc w:val="both"/>
        <w:rPr>
          <w:bCs/>
        </w:rPr>
      </w:pPr>
    </w:p>
    <w:p w:rsidR="004577F9" w:rsidRDefault="004577F9" w:rsidP="00183444">
      <w:pPr>
        <w:jc w:val="both"/>
        <w:rPr>
          <w:bCs/>
        </w:rPr>
      </w:pPr>
      <w:r w:rsidRPr="004577F9">
        <w:rPr>
          <w:bCs/>
        </w:rPr>
        <w:t>Раздел 4. Показатели результативности и эффективности программы профилактики</w:t>
      </w:r>
    </w:p>
    <w:p w:rsidR="004577F9" w:rsidRDefault="004577F9" w:rsidP="00183444">
      <w:pPr>
        <w:jc w:val="both"/>
        <w:rPr>
          <w:bCs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6237"/>
        <w:gridCol w:w="2862"/>
      </w:tblGrid>
      <w:tr w:rsidR="004577F9" w:rsidTr="00183444">
        <w:tc>
          <w:tcPr>
            <w:tcW w:w="540" w:type="dxa"/>
          </w:tcPr>
          <w:p w:rsidR="004577F9" w:rsidRPr="00576320" w:rsidRDefault="004577F9" w:rsidP="00183444">
            <w:pPr>
              <w:jc w:val="center"/>
              <w:rPr>
                <w:bCs/>
              </w:rPr>
            </w:pPr>
            <w:r w:rsidRPr="00576320">
              <w:rPr>
                <w:bCs/>
              </w:rPr>
              <w:t>№</w:t>
            </w:r>
          </w:p>
          <w:p w:rsidR="004577F9" w:rsidRDefault="004577F9" w:rsidP="00183444">
            <w:pPr>
              <w:jc w:val="center"/>
              <w:rPr>
                <w:bCs/>
              </w:rPr>
            </w:pPr>
            <w:proofErr w:type="gramStart"/>
            <w:r w:rsidRPr="00576320">
              <w:rPr>
                <w:bCs/>
              </w:rPr>
              <w:t>п</w:t>
            </w:r>
            <w:proofErr w:type="gramEnd"/>
            <w:r w:rsidRPr="00576320">
              <w:rPr>
                <w:bCs/>
              </w:rPr>
              <w:t>/п</w:t>
            </w:r>
          </w:p>
        </w:tc>
        <w:tc>
          <w:tcPr>
            <w:tcW w:w="6237" w:type="dxa"/>
          </w:tcPr>
          <w:p w:rsidR="004577F9" w:rsidRDefault="004577F9" w:rsidP="00183444">
            <w:pPr>
              <w:jc w:val="center"/>
              <w:rPr>
                <w:bCs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2862" w:type="dxa"/>
          </w:tcPr>
          <w:p w:rsidR="004577F9" w:rsidRDefault="00140D63" w:rsidP="00183444">
            <w:pPr>
              <w:jc w:val="center"/>
              <w:rPr>
                <w:bCs/>
              </w:rPr>
            </w:pPr>
            <w:r>
              <w:rPr>
                <w:bCs/>
              </w:rPr>
              <w:t>Величина</w:t>
            </w:r>
          </w:p>
        </w:tc>
      </w:tr>
      <w:tr w:rsidR="004577F9" w:rsidTr="00183444">
        <w:tc>
          <w:tcPr>
            <w:tcW w:w="540" w:type="dxa"/>
          </w:tcPr>
          <w:p w:rsidR="004577F9" w:rsidRDefault="00140D63" w:rsidP="0018344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237" w:type="dxa"/>
          </w:tcPr>
          <w:p w:rsidR="004577F9" w:rsidRDefault="00140D63" w:rsidP="00183444">
            <w:pPr>
              <w:jc w:val="both"/>
              <w:rPr>
                <w:bCs/>
              </w:rPr>
            </w:pPr>
            <w:r w:rsidRPr="00140D63">
              <w:rPr>
                <w:bCs/>
              </w:rPr>
              <w:t xml:space="preserve">Полнота информации, размещенной на официальном сайте администрации Северо-Курильского </w:t>
            </w:r>
            <w:r w:rsidR="00183444">
              <w:rPr>
                <w:bCs/>
              </w:rPr>
              <w:t>муниципального</w:t>
            </w:r>
            <w:r w:rsidRPr="00140D63">
              <w:rPr>
                <w:bCs/>
              </w:rPr>
              <w:t xml:space="preserve"> округа в информационно-телекоммуникационной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62" w:type="dxa"/>
          </w:tcPr>
          <w:p w:rsidR="004577F9" w:rsidRDefault="00140D63" w:rsidP="00183444">
            <w:pPr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</w:tr>
      <w:tr w:rsidR="004577F9" w:rsidTr="00183444">
        <w:tc>
          <w:tcPr>
            <w:tcW w:w="540" w:type="dxa"/>
          </w:tcPr>
          <w:p w:rsidR="004577F9" w:rsidRDefault="00140D63" w:rsidP="0018344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237" w:type="dxa"/>
          </w:tcPr>
          <w:p w:rsidR="004577F9" w:rsidRPr="00845C25" w:rsidRDefault="00297452" w:rsidP="00183444">
            <w:pPr>
              <w:jc w:val="both"/>
              <w:rPr>
                <w:bCs/>
              </w:rPr>
            </w:pPr>
            <w:r w:rsidRPr="00845C25">
              <w:rPr>
                <w:bCs/>
              </w:rPr>
              <w:t>У</w:t>
            </w:r>
            <w:r w:rsidR="00140D63" w:rsidRPr="00845C25">
              <w:rPr>
                <w:bCs/>
              </w:rPr>
              <w:t>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62" w:type="dxa"/>
          </w:tcPr>
          <w:p w:rsidR="004577F9" w:rsidRPr="00845C25" w:rsidRDefault="00140D63" w:rsidP="00183444">
            <w:pPr>
              <w:jc w:val="center"/>
              <w:rPr>
                <w:bCs/>
              </w:rPr>
            </w:pPr>
            <w:r w:rsidRPr="00845C25">
              <w:t xml:space="preserve">100 % от числа </w:t>
            </w:r>
            <w:proofErr w:type="gramStart"/>
            <w:r w:rsidRPr="00845C25">
              <w:t>обратившихся</w:t>
            </w:r>
            <w:proofErr w:type="gramEnd"/>
          </w:p>
        </w:tc>
      </w:tr>
    </w:tbl>
    <w:p w:rsidR="004577F9" w:rsidRPr="00576320" w:rsidRDefault="004577F9" w:rsidP="00183444">
      <w:pPr>
        <w:jc w:val="both"/>
        <w:rPr>
          <w:bCs/>
        </w:rPr>
      </w:pPr>
    </w:p>
    <w:sectPr w:rsidR="004577F9" w:rsidRPr="00576320" w:rsidSect="00183444">
      <w:headerReference w:type="default" r:id="rId8"/>
      <w:type w:val="continuous"/>
      <w:pgSz w:w="11905" w:h="16838"/>
      <w:pgMar w:top="1134" w:right="850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0F" w:rsidRDefault="00FF770F" w:rsidP="009C7780">
      <w:r>
        <w:separator/>
      </w:r>
    </w:p>
  </w:endnote>
  <w:endnote w:type="continuationSeparator" w:id="0">
    <w:p w:rsidR="00FF770F" w:rsidRDefault="00FF770F" w:rsidP="009C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0F" w:rsidRDefault="00FF770F" w:rsidP="009C7780">
      <w:r>
        <w:separator/>
      </w:r>
    </w:p>
  </w:footnote>
  <w:footnote w:type="continuationSeparator" w:id="0">
    <w:p w:rsidR="00FF770F" w:rsidRDefault="00FF770F" w:rsidP="009C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9B" w:rsidRDefault="003A77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E9"/>
    <w:rsid w:val="00076AA4"/>
    <w:rsid w:val="001000F0"/>
    <w:rsid w:val="0010526A"/>
    <w:rsid w:val="00134449"/>
    <w:rsid w:val="00140D63"/>
    <w:rsid w:val="0014167F"/>
    <w:rsid w:val="00174BE9"/>
    <w:rsid w:val="00177597"/>
    <w:rsid w:val="00183444"/>
    <w:rsid w:val="00291817"/>
    <w:rsid w:val="00297452"/>
    <w:rsid w:val="00310C42"/>
    <w:rsid w:val="003206AC"/>
    <w:rsid w:val="00360A37"/>
    <w:rsid w:val="00361DF0"/>
    <w:rsid w:val="003809EC"/>
    <w:rsid w:val="003A779B"/>
    <w:rsid w:val="004522D0"/>
    <w:rsid w:val="004577F9"/>
    <w:rsid w:val="004A4BE5"/>
    <w:rsid w:val="004B014E"/>
    <w:rsid w:val="004E44BB"/>
    <w:rsid w:val="004F33DC"/>
    <w:rsid w:val="00511B0D"/>
    <w:rsid w:val="00537143"/>
    <w:rsid w:val="00541001"/>
    <w:rsid w:val="00576320"/>
    <w:rsid w:val="005B34A7"/>
    <w:rsid w:val="00792181"/>
    <w:rsid w:val="0080238B"/>
    <w:rsid w:val="00802D9C"/>
    <w:rsid w:val="008177D3"/>
    <w:rsid w:val="008404F4"/>
    <w:rsid w:val="00841783"/>
    <w:rsid w:val="00845C25"/>
    <w:rsid w:val="008C0DE9"/>
    <w:rsid w:val="00941D21"/>
    <w:rsid w:val="0094544A"/>
    <w:rsid w:val="00964962"/>
    <w:rsid w:val="00984FD1"/>
    <w:rsid w:val="00991CF0"/>
    <w:rsid w:val="009A6B49"/>
    <w:rsid w:val="009C7780"/>
    <w:rsid w:val="009E7FC1"/>
    <w:rsid w:val="009F73E7"/>
    <w:rsid w:val="00AE7794"/>
    <w:rsid w:val="00B0742E"/>
    <w:rsid w:val="00B243CE"/>
    <w:rsid w:val="00B24D20"/>
    <w:rsid w:val="00B52CAC"/>
    <w:rsid w:val="00B71440"/>
    <w:rsid w:val="00B923A9"/>
    <w:rsid w:val="00BF2B41"/>
    <w:rsid w:val="00D148A0"/>
    <w:rsid w:val="00D22AC6"/>
    <w:rsid w:val="00D608AE"/>
    <w:rsid w:val="00DB0A91"/>
    <w:rsid w:val="00DB2C89"/>
    <w:rsid w:val="00DC2096"/>
    <w:rsid w:val="00DF0B0E"/>
    <w:rsid w:val="00E04F27"/>
    <w:rsid w:val="00E34A2B"/>
    <w:rsid w:val="00E92DF6"/>
    <w:rsid w:val="00EE1B21"/>
    <w:rsid w:val="00EE4D80"/>
    <w:rsid w:val="00EE549D"/>
    <w:rsid w:val="00EF138B"/>
    <w:rsid w:val="00FB43EC"/>
    <w:rsid w:val="00FD6399"/>
    <w:rsid w:val="00FE209E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1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1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2025-12-21T22:42:00Z</cp:lastPrinted>
  <dcterms:created xsi:type="dcterms:W3CDTF">2025-12-19T04:27:00Z</dcterms:created>
  <dcterms:modified xsi:type="dcterms:W3CDTF">2025-12-23T01:16:00Z</dcterms:modified>
</cp:coreProperties>
</file>